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C1" w:rsidRDefault="00057160">
      <w:r>
        <w:rPr>
          <w:rFonts w:ascii="Arial" w:hAnsi="Arial" w:cs="Arial"/>
          <w:color w:val="2C2D2E"/>
          <w:sz w:val="32"/>
          <w:szCs w:val="32"/>
          <w:shd w:val="clear" w:color="auto" w:fill="FFFFFF"/>
        </w:rPr>
        <w:t>Срок уплаты налога в 2022 году по упрощенной системе продлен</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УФНС России по Оренбургской области сообщает, что согласно постановлению Правительства РФ от 30.03.2022 № 512 изменились сроки уплаты УСН для отдельных отраслей.</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В соответствии с документом на шесть месяцев продлеваются:</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 срок уплаты налога по УСН за 2021 год;</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 срок уплаты авансового платежа по УСН за первый квартал 2022 года.</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Таким образом, сроки уплаты налога, уплачиваемого в связи с применением УСН, за 2021 год переносятся:</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  для организаций с 31 марта на 31 октября 2022 года;</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 xml:space="preserve">·  для ИП с 30 апреля </w:t>
      </w:r>
      <w:proofErr w:type="gramStart"/>
      <w:r>
        <w:rPr>
          <w:rFonts w:ascii="Arial" w:hAnsi="Arial" w:cs="Arial"/>
          <w:color w:val="2C2D2E"/>
          <w:sz w:val="32"/>
          <w:szCs w:val="32"/>
          <w:shd w:val="clear" w:color="auto" w:fill="FFFFFF"/>
        </w:rPr>
        <w:t>на</w:t>
      </w:r>
      <w:proofErr w:type="gramEnd"/>
      <w:r>
        <w:rPr>
          <w:rFonts w:ascii="Arial" w:hAnsi="Arial" w:cs="Arial"/>
          <w:color w:val="2C2D2E"/>
          <w:sz w:val="32"/>
          <w:szCs w:val="32"/>
          <w:shd w:val="clear" w:color="auto" w:fill="FFFFFF"/>
        </w:rPr>
        <w:t xml:space="preserve"> 30 ноября 2022 года.</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Также срок уплаты авансового платежа по УСН за первый квартал 2022 года переносится для организаций и ИП с 25 апреля на 30 ноября 2022 года.</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lastRenderedPageBreak/>
        <w:t xml:space="preserve">Продление сроков уплаты касается организаций и ИП, осуществляющих отдельные виды экономической деятельности </w:t>
      </w:r>
      <w:proofErr w:type="gramStart"/>
      <w:r>
        <w:rPr>
          <w:rFonts w:ascii="Arial" w:hAnsi="Arial" w:cs="Arial"/>
          <w:color w:val="2C2D2E"/>
          <w:sz w:val="32"/>
          <w:szCs w:val="32"/>
          <w:shd w:val="clear" w:color="auto" w:fill="FFFFFF"/>
        </w:rPr>
        <w:t>связанных</w:t>
      </w:r>
      <w:proofErr w:type="gramEnd"/>
      <w:r>
        <w:rPr>
          <w:rFonts w:ascii="Arial" w:hAnsi="Arial" w:cs="Arial"/>
          <w:color w:val="2C2D2E"/>
          <w:sz w:val="32"/>
          <w:szCs w:val="32"/>
          <w:shd w:val="clear" w:color="auto" w:fill="FFFFFF"/>
        </w:rPr>
        <w:t xml:space="preserve">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ведущих полиграфическую деятельность, связанных с туризмом и гостеприимством,  здравоохранением, спортом, сферой развлечений. Полный перечень приведен в приложении к постановлению.</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r>
        <w:rPr>
          <w:rFonts w:ascii="Arial" w:hAnsi="Arial" w:cs="Arial"/>
          <w:color w:val="2C2D2E"/>
          <w:sz w:val="32"/>
          <w:szCs w:val="32"/>
        </w:rPr>
        <w:br/>
      </w:r>
      <w:r>
        <w:rPr>
          <w:rFonts w:ascii="Arial" w:hAnsi="Arial" w:cs="Arial"/>
          <w:color w:val="2C2D2E"/>
          <w:sz w:val="32"/>
          <w:szCs w:val="32"/>
        </w:rPr>
        <w:br/>
      </w:r>
      <w:r>
        <w:rPr>
          <w:rFonts w:ascii="Arial" w:hAnsi="Arial" w:cs="Arial"/>
          <w:color w:val="2C2D2E"/>
          <w:sz w:val="32"/>
          <w:szCs w:val="32"/>
          <w:shd w:val="clear" w:color="auto" w:fill="FFFFFF"/>
        </w:rPr>
        <w:t>Получить такую выписку можно на сайте ФНС России с помощью сервиса «Предоставление сведений из ЕГРЮЛ/ЕГРИП в электронном виде» и «Прозрачный бизнес».</w:t>
      </w:r>
    </w:p>
    <w:sectPr w:rsidR="00C7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57160"/>
    <w:rsid w:val="00057160"/>
    <w:rsid w:val="00C7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2022-04-01T09:09:00Z</dcterms:created>
  <dcterms:modified xsi:type="dcterms:W3CDTF">2022-04-01T09:09:00Z</dcterms:modified>
</cp:coreProperties>
</file>