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B" w:rsidRDefault="009F4F3B" w:rsidP="009F4F3B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752932</wp:posOffset>
            </wp:positionH>
            <wp:positionV relativeFrom="paragraph">
              <wp:posOffset>-457697</wp:posOffset>
            </wp:positionV>
            <wp:extent cx="490800" cy="604299"/>
            <wp:effectExtent l="19050" t="0" r="450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0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1"/>
        <w:gridCol w:w="4674"/>
      </w:tblGrid>
      <w:tr w:rsidR="009F4F3B" w:rsidTr="009F4F3B">
        <w:trPr>
          <w:trHeight w:val="4909"/>
        </w:trPr>
        <w:tc>
          <w:tcPr>
            <w:tcW w:w="5241" w:type="dxa"/>
          </w:tcPr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group id="_x0000_s1026" style="position:absolute;margin-left:-10.25pt;margin-top:120.55pt;width:273.75pt;height:19.5pt;z-index:251658240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 ПЕРЕВОЛОЦКОГО РАЙОНА          ОРЕНБУРГСКОЙ ОБЛАСТИ</w:t>
            </w:r>
          </w:p>
          <w:p w:rsidR="009F4F3B" w:rsidRDefault="009F4F3B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9F4F3B" w:rsidRDefault="009F4F3B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08.04.2020</w:t>
            </w:r>
            <w:r>
              <w:rPr>
                <w:b w:val="0"/>
                <w:sz w:val="28"/>
                <w:szCs w:val="28"/>
                <w:lang w:val="ru-RU"/>
              </w:rPr>
              <w:t>_№_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246-п</w:t>
            </w:r>
          </w:p>
          <w:p w:rsidR="009F4F3B" w:rsidRDefault="009F4F3B"/>
          <w:p w:rsidR="009F4F3B" w:rsidRDefault="009F4F3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проекта планировки территории совмещенного с проектом межевания территории  для проектирования и строительства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</w:t>
            </w: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Газпромнефть-Заполярье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</w:p>
          <w:p w:rsidR="009F4F3B" w:rsidRDefault="009F4F3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4F3B" w:rsidRDefault="009F4F3B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9F4F3B" w:rsidRDefault="009F4F3B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F4F3B" w:rsidRDefault="009F4F3B" w:rsidP="009F4F3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 45, 46 Градостроительного кодекса Российской Федерации от 29.12.2004 № 190-ФЗ, ст. 28 Федерального закона от 06.10.2003  № 131-ФЗ «Об общих принципах организации местного самоуправления в Российской Федерации», на основании заявления заместителя генерального директора проектного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от 27.02.2020,  № 59/943:</w:t>
      </w:r>
    </w:p>
    <w:p w:rsidR="009F4F3B" w:rsidRDefault="009F4F3B" w:rsidP="009F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проект планировки территории совмещенного с проектом межевания территории  для проектирования и строительства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Газпромнефть-Заполярье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 «Филипповская залежь Западного участка Оренбургского НГКМ Обустройство добывающей скважины №2Н, газовой скважины №20Н, площадки АГЗУ-1 с коммуникациями», «Филипповская залежь Западного участка Оренбургского НГКМ. Обустройство добывающей скважины №1Н», «Филипповская залежь Западного участка Оренбургского НГКМ. Обустройство добывающей скважины №39Н», «Филипповская залежь Западного участка Оренбургского НГКМ. Обустройство добывающей скважины №56Н», на территориях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торой,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сельсоветы  Переволоцкого района Оренбургской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4F3B" w:rsidRDefault="009F4F3B" w:rsidP="009F4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совмещенного с проектом межевания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Газпромнефть-Заполярье</w:t>
      </w:r>
      <w:proofErr w:type="spellEnd"/>
      <w:r>
        <w:rPr>
          <w:rFonts w:ascii="Times New Roman" w:hAnsi="Times New Roman"/>
          <w:sz w:val="28"/>
          <w:szCs w:val="28"/>
        </w:rPr>
        <w:t>»  «Филипповская залежь Западного участка Оренбургского НГКМ Обустройство добывающей скважины №2Н, газовой скважины №20Н, площадки АГЗУ-1 с коммуникациями», «Филипповская залежь Западного участка Оренбургского НГКМ.</w:t>
      </w:r>
      <w:proofErr w:type="gramEnd"/>
      <w:r>
        <w:rPr>
          <w:rFonts w:ascii="Times New Roman" w:hAnsi="Times New Roman"/>
          <w:sz w:val="28"/>
          <w:szCs w:val="28"/>
        </w:rPr>
        <w:t xml:space="preserve"> Обустройство добывающей скважины №1Н», «Филипповская залежь Западного участка Оренбургского </w:t>
      </w:r>
      <w:r>
        <w:rPr>
          <w:rFonts w:ascii="Times New Roman" w:hAnsi="Times New Roman"/>
          <w:sz w:val="28"/>
          <w:szCs w:val="28"/>
        </w:rPr>
        <w:lastRenderedPageBreak/>
        <w:t>НГКМ. Обустройство добывающей скважины №39Н», «Филипповская залежь Западного участка Оренбургского НГКМ. Обустройство добывающей</w:t>
      </w:r>
    </w:p>
    <w:p w:rsidR="009F4F3B" w:rsidRDefault="009F4F3B" w:rsidP="009F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скважины №56Н», на территориях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торой,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сельсоветы 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сайтах муниципальных образований  Переволоцкий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 сельсоветы в сети Интернет.</w:t>
      </w:r>
    </w:p>
    <w:p w:rsidR="009F4F3B" w:rsidRDefault="009F4F3B" w:rsidP="009F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F4F3B" w:rsidRDefault="009F4F3B" w:rsidP="009F4F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4.Постановление вступает в силу со дня его подписания.</w:t>
      </w:r>
    </w:p>
    <w:p w:rsidR="009F4F3B" w:rsidRDefault="009F4F3B" w:rsidP="009F4F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4F3B" w:rsidRDefault="009F4F3B" w:rsidP="009F4F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4F3B" w:rsidRDefault="009F4F3B" w:rsidP="009F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Н.И. Сорокин</w:t>
      </w:r>
    </w:p>
    <w:p w:rsidR="009F4F3B" w:rsidRDefault="009F4F3B" w:rsidP="009F4F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4F3B" w:rsidRDefault="009F4F3B" w:rsidP="009F4F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4F3B" w:rsidRDefault="009F4F3B" w:rsidP="009F4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F3B" w:rsidRDefault="009F4F3B" w:rsidP="009F4F3B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сельсовет,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сельсовет, «ООО «</w:t>
      </w:r>
      <w:proofErr w:type="spellStart"/>
      <w:r>
        <w:rPr>
          <w:sz w:val="28"/>
          <w:szCs w:val="28"/>
        </w:rPr>
        <w:t>Газпромнефть-Заполярье</w:t>
      </w:r>
      <w:proofErr w:type="spellEnd"/>
      <w:r>
        <w:rPr>
          <w:sz w:val="28"/>
          <w:szCs w:val="28"/>
        </w:rPr>
        <w:t>»,  ООО  «</w:t>
      </w:r>
      <w:proofErr w:type="spellStart"/>
      <w:r>
        <w:rPr>
          <w:sz w:val="28"/>
          <w:szCs w:val="28"/>
        </w:rPr>
        <w:t>Трубопроводсервис</w:t>
      </w:r>
      <w:proofErr w:type="spellEnd"/>
      <w:r>
        <w:rPr>
          <w:sz w:val="28"/>
          <w:szCs w:val="28"/>
        </w:rPr>
        <w:t>», редакции газеты  «Светлый путь», Потапову А.А, прокурору.</w:t>
      </w:r>
    </w:p>
    <w:p w:rsidR="009F4F3B" w:rsidRDefault="009F4F3B" w:rsidP="009F4F3B">
      <w:pPr>
        <w:pStyle w:val="2"/>
        <w:spacing w:line="240" w:lineRule="auto"/>
        <w:jc w:val="both"/>
        <w:rPr>
          <w:sz w:val="28"/>
          <w:szCs w:val="28"/>
        </w:rPr>
      </w:pPr>
    </w:p>
    <w:p w:rsidR="009F4F3B" w:rsidRDefault="009F4F3B" w:rsidP="009F4F3B">
      <w:pPr>
        <w:pStyle w:val="2"/>
        <w:spacing w:line="240" w:lineRule="auto"/>
        <w:jc w:val="both"/>
        <w:rPr>
          <w:sz w:val="28"/>
          <w:szCs w:val="28"/>
        </w:rPr>
      </w:pPr>
    </w:p>
    <w:p w:rsidR="009F4F3B" w:rsidRDefault="009F4F3B" w:rsidP="009F4F3B">
      <w:pPr>
        <w:pStyle w:val="2"/>
        <w:spacing w:line="240" w:lineRule="auto"/>
        <w:jc w:val="both"/>
        <w:rPr>
          <w:sz w:val="28"/>
          <w:szCs w:val="28"/>
        </w:rPr>
      </w:pPr>
    </w:p>
    <w:p w:rsidR="009F4F3B" w:rsidRDefault="009F4F3B" w:rsidP="009F4F3B">
      <w:pPr>
        <w:pStyle w:val="2"/>
        <w:spacing w:line="240" w:lineRule="auto"/>
        <w:jc w:val="both"/>
        <w:rPr>
          <w:sz w:val="28"/>
          <w:szCs w:val="28"/>
        </w:rPr>
      </w:pPr>
    </w:p>
    <w:p w:rsidR="001A5AF7" w:rsidRDefault="001A5AF7"/>
    <w:sectPr w:rsidR="001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4F3B"/>
    <w:rsid w:val="001A5AF7"/>
    <w:rsid w:val="009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4F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F4F3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F4F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4F3B"/>
    <w:rPr>
      <w:sz w:val="16"/>
      <w:szCs w:val="16"/>
    </w:rPr>
  </w:style>
  <w:style w:type="paragraph" w:customStyle="1" w:styleId="6">
    <w:name w:val="заголовок 6"/>
    <w:basedOn w:val="a"/>
    <w:next w:val="a"/>
    <w:rsid w:val="009F4F3B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>Work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2020-04-10T03:11:00Z</dcterms:created>
  <dcterms:modified xsi:type="dcterms:W3CDTF">2020-04-10T03:11:00Z</dcterms:modified>
</cp:coreProperties>
</file>